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488"/>
        <w:gridCol w:w="936"/>
      </w:tblGrid>
      <w:tr w:rsidR="003E0B76" w:rsidRPr="003E0B76" w:rsidTr="003E0B76"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0B76" w:rsidRPr="003E0B76" w:rsidRDefault="003E0B76" w:rsidP="003E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br/>
            </w:r>
          </w:p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Ordinul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. 1546/2024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modificarea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anexei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Ordinul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directorului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Agenţiei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Naţionale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Cadastru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Publicitate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Imobiliară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. 570/2018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privind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stabilirea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structurii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organizatorice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numărului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 personal al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Agenţiei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Naţionale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Cadastru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Publicitate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Imobiliară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instituţiilor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subordonate</w:t>
            </w:r>
            <w:proofErr w:type="spellEnd"/>
            <w:r w:rsidRPr="003E0B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  </w:t>
            </w:r>
          </w:p>
          <w:p w:rsidR="003E0B76" w:rsidRPr="003E0B76" w:rsidRDefault="003E0B76" w:rsidP="003E0B76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vigoare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de la 19 august 2024</w:t>
            </w:r>
          </w:p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Publicat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Monitorul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Oficial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Partea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. 818 din 19 august 2024.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Formă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aplicabilă</w:t>
            </w:r>
            <w:proofErr w:type="spellEnd"/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la </w:t>
            </w:r>
            <w:hyperlink r:id="rId4" w:history="1">
              <w:r w:rsidRPr="003E0B76">
                <w:rPr>
                  <w:rFonts w:ascii="Arial" w:eastAsia="Times New Roman" w:hAnsi="Arial" w:cs="Arial"/>
                  <w:i/>
                  <w:iCs/>
                  <w:color w:val="008000"/>
                  <w:sz w:val="24"/>
                  <w:szCs w:val="24"/>
                  <w:lang w:val="en-US"/>
                </w:rPr>
                <w:t>21 august 2024</w:t>
              </w:r>
            </w:hyperlink>
            <w:r w:rsidRPr="003E0B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</w:tblGrid>
            <w:tr w:rsidR="003E0B76" w:rsidRPr="003E0B76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96"/>
                  </w:tblGrid>
                  <w:tr w:rsidR="003E0B76" w:rsidRPr="003E0B76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3E0B76" w:rsidRPr="003E0B76" w:rsidRDefault="003E0B76" w:rsidP="003E0B7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3E0B7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  <w:lang w:val="en-US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E21E15E" wp14:editId="6BD9D9DA">
                                  <wp:extent cx="152400" cy="142875"/>
                                  <wp:effectExtent l="0" t="0" r="0" b="0"/>
                                  <wp:docPr id="3" name="AutoShape 3" descr="Fisa actulu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F7FECED" id="AutoShape 3" o:spid="_x0000_s1026" alt="Fisa actului" href="javascript:fisa_act;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3E0B76" w:rsidRPr="003E0B76" w:rsidRDefault="003E0B76" w:rsidP="003E0B7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hyperlink r:id="rId6" w:history="1"/>
                      </w:p>
                    </w:tc>
                  </w:tr>
                </w:tbl>
                <w:p w:rsidR="003E0B76" w:rsidRPr="003E0B76" w:rsidRDefault="003E0B76" w:rsidP="003E0B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0B76" w:rsidRPr="003E0B76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3E0B76" w:rsidRPr="003E0B76" w:rsidRDefault="003E0B76" w:rsidP="003E0B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val="en-US"/>
                    </w:rPr>
                  </w:pPr>
                  <w:r w:rsidRPr="003E0B76"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val="en-US"/>
                    </w:rPr>
                    <w:t xml:space="preserve">Grupează pe: categorii </w:t>
                  </w:r>
                  <w:hyperlink r:id="rId7" w:history="1">
                    <w:r w:rsidRPr="003E0B76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4"/>
                        <w:szCs w:val="24"/>
                        <w:lang w:val="en-US"/>
                      </w:rPr>
                      <w:t>ani</w:t>
                    </w:r>
                  </w:hyperlink>
                  <w:r w:rsidRPr="003E0B76"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</w:tblGrid>
                  <w:tr w:rsidR="003E0B76" w:rsidRPr="003E0B76" w:rsidTr="003E0B76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E0B76" w:rsidRPr="003E0B76" w:rsidRDefault="003E0B76" w:rsidP="003E0B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E0B76" w:rsidRPr="003E0B76" w:rsidTr="003E0B76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E0B76" w:rsidRPr="003E0B76" w:rsidRDefault="003E0B76" w:rsidP="003E0B7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3E0B76" w:rsidRPr="003E0B76" w:rsidRDefault="003E0B76" w:rsidP="003E0B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E0B76" w:rsidRPr="003E0B76" w:rsidRDefault="003E0B76" w:rsidP="003E0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   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Având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vedere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: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3E0B76">
        <w:rPr>
          <w:rFonts w:ascii="Arial" w:eastAsia="Times New Roman" w:hAnsi="Arial" w:cs="Arial"/>
          <w:b/>
          <w:bCs/>
          <w:color w:val="C0C0C0"/>
          <w:sz w:val="24"/>
          <w:szCs w:val="24"/>
          <w:lang w:val="en-US"/>
        </w:rPr>
        <w:t>-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prevederile</w:t>
      </w:r>
      <w:proofErr w:type="spellEnd"/>
      <w:proofErr w:type="gram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art. 3 </w:t>
      </w:r>
      <w:hyperlink r:id="rId8" w:history="1">
        <w:proofErr w:type="spellStart"/>
        <w:r w:rsidRPr="003E0B76">
          <w:rPr>
            <w:rFonts w:ascii="Arial" w:eastAsia="Times New Roman" w:hAnsi="Arial" w:cs="Arial"/>
            <w:color w:val="0000FF"/>
            <w:sz w:val="24"/>
            <w:szCs w:val="24"/>
            <w:lang w:val="en-US"/>
          </w:rPr>
          <w:t>alin</w:t>
        </w:r>
        <w:proofErr w:type="spellEnd"/>
        <w:r w:rsidRPr="003E0B76">
          <w:rPr>
            <w:rFonts w:ascii="Arial" w:eastAsia="Times New Roman" w:hAnsi="Arial" w:cs="Arial"/>
            <w:color w:val="0000FF"/>
            <w:sz w:val="24"/>
            <w:szCs w:val="24"/>
            <w:lang w:val="en-US"/>
          </w:rPr>
          <w:t>. (11</w:t>
        </w:r>
        <w:r w:rsidRPr="003E0B76">
          <w:rPr>
            <w:rFonts w:ascii="Arial" w:eastAsia="Times New Roman" w:hAnsi="Arial" w:cs="Arial"/>
            <w:color w:val="0000FF"/>
            <w:sz w:val="24"/>
            <w:szCs w:val="24"/>
            <w:vertAlign w:val="superscript"/>
            <w:lang w:val="en-US"/>
          </w:rPr>
          <w:t>1</w:t>
        </w:r>
        <w:r w:rsidRPr="003E0B76">
          <w:rPr>
            <w:rFonts w:ascii="Arial" w:eastAsia="Times New Roman" w:hAnsi="Arial" w:cs="Arial"/>
            <w:color w:val="0000FF"/>
            <w:sz w:val="24"/>
            <w:szCs w:val="24"/>
            <w:lang w:val="en-US"/>
          </w:rPr>
          <w:t>)</w:t>
        </w:r>
      </w:hyperlink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din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Legea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cadastrului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publicităţii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imobiliare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7/1996,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republicată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cu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modificările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completările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ulterioare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;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3E0B76">
        <w:rPr>
          <w:rFonts w:ascii="Arial" w:eastAsia="Times New Roman" w:hAnsi="Arial" w:cs="Arial"/>
          <w:b/>
          <w:bCs/>
          <w:color w:val="C0C0C0"/>
          <w:sz w:val="24"/>
          <w:szCs w:val="24"/>
          <w:lang w:val="en-US"/>
        </w:rPr>
        <w:t>-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Hotărârea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Consiliului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administraţie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Agenţiei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Naţionale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Cadastru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Publicitate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Imobiliară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102 din 22.07.2024,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    </w:t>
      </w:r>
      <w:proofErr w:type="spellStart"/>
      <w:proofErr w:type="gram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în</w:t>
      </w:r>
      <w:proofErr w:type="spellEnd"/>
      <w:proofErr w:type="gram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temeiul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art. 3 </w:t>
      </w:r>
      <w:hyperlink r:id="rId9" w:history="1">
        <w:proofErr w:type="spellStart"/>
        <w:r w:rsidRPr="003E0B76">
          <w:rPr>
            <w:rFonts w:ascii="Arial" w:eastAsia="Times New Roman" w:hAnsi="Arial" w:cs="Arial"/>
            <w:i/>
            <w:iCs/>
            <w:color w:val="0000FF"/>
            <w:sz w:val="24"/>
            <w:szCs w:val="24"/>
            <w:lang w:val="en-US"/>
          </w:rPr>
          <w:t>alin</w:t>
        </w:r>
        <w:proofErr w:type="spellEnd"/>
        <w:r w:rsidRPr="003E0B76">
          <w:rPr>
            <w:rFonts w:ascii="Arial" w:eastAsia="Times New Roman" w:hAnsi="Arial" w:cs="Arial"/>
            <w:i/>
            <w:iCs/>
            <w:color w:val="0000FF"/>
            <w:sz w:val="24"/>
            <w:szCs w:val="24"/>
            <w:lang w:val="en-US"/>
          </w:rPr>
          <w:t>. (13)</w:t>
        </w:r>
      </w:hyperlink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din</w:t>
      </w:r>
      <w:proofErr w:type="gram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Legea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cadastrului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publicităţii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imobiliare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. 7/1996,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republicată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, cu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modificările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completările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ulterioare</w:t>
      </w:r>
      <w:proofErr w:type="spellEnd"/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, </w:t>
      </w:r>
      <w:r w:rsidRPr="003E0B7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br/>
        <w:t xml:space="preserve">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   </w:t>
      </w:r>
      <w:proofErr w:type="spellStart"/>
      <w:proofErr w:type="gram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directorul</w:t>
      </w:r>
      <w:proofErr w:type="spellEnd"/>
      <w:proofErr w:type="gram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general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Agenţiei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Naţionale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Cadastru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Publicitate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Imobiliară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emite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prezentul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ordin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3E0B76">
        <w:rPr>
          <w:rFonts w:ascii="Arial" w:eastAsia="Times New Roman" w:hAnsi="Arial" w:cs="Arial"/>
          <w:b/>
          <w:bCs/>
          <w:color w:val="008000"/>
          <w:sz w:val="24"/>
          <w:szCs w:val="24"/>
          <w:lang w:val="en-US"/>
        </w:rPr>
        <w:t>Art. I. -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  </w:t>
      </w:r>
      <w:hyperlink r:id="rId10" w:history="1">
        <w:proofErr w:type="spellStart"/>
        <w:r w:rsidRPr="003E0B76">
          <w:rPr>
            <w:rFonts w:ascii="Arial" w:eastAsia="Times New Roman" w:hAnsi="Arial" w:cs="Arial"/>
            <w:color w:val="0000FF"/>
            <w:sz w:val="24"/>
            <w:szCs w:val="24"/>
            <w:lang w:val="en-US"/>
          </w:rPr>
          <w:t>Anexa</w:t>
        </w:r>
        <w:proofErr w:type="spellEnd"/>
      </w:hyperlink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la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Ordinul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directorului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general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Agenţiei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Naţionale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Cadastru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Publicitate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Imobiliară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570/2018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privind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stabilirea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structurii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organizatorice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numărului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personal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Agenţiei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Naţionale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Cadastru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Publicitate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Imobiliară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instituţiilor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subordonate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publicat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în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Monitorul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Oficial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României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Partea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I,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652 din 26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iulie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2018, cu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modificările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ulterioare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gram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se</w:t>
      </w:r>
      <w:proofErr w:type="gram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modifică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înlocuieşte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cu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anexa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care face parte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integrantă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din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prezentul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ordin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3E0B76">
        <w:rPr>
          <w:rFonts w:ascii="Arial" w:eastAsia="Times New Roman" w:hAnsi="Arial" w:cs="Arial"/>
          <w:b/>
          <w:bCs/>
          <w:color w:val="008000"/>
          <w:sz w:val="24"/>
          <w:szCs w:val="24"/>
          <w:lang w:val="en-US"/>
        </w:rPr>
        <w:t>Art. II. -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 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Prezentul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ordin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publică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în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Monitorul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Oficial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al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României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Partea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I.</w:t>
      </w: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3E0B76" w:rsidRPr="003E0B76" w:rsidTr="003E0B7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B76" w:rsidRPr="003E0B76" w:rsidRDefault="003E0B76" w:rsidP="003E0B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E0B76" w:rsidRPr="003E0B76" w:rsidRDefault="003E0B76" w:rsidP="003E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B76" w:rsidRPr="003E0B76" w:rsidTr="003E0B76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B76" w:rsidRPr="003E0B76" w:rsidRDefault="003E0B76" w:rsidP="003E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0B76" w:rsidRPr="003E0B76" w:rsidRDefault="003E0B76" w:rsidP="003E0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Directorul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Agenţiei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Naţionale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Cadastru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Publicitate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Imobiliară</w:t>
            </w:r>
            <w:proofErr w:type="spellEnd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br/>
              <w:t xml:space="preserve">Adriana </w:t>
            </w:r>
            <w:proofErr w:type="spellStart"/>
            <w:r w:rsidRPr="003E0B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Tudosoiu</w:t>
            </w:r>
            <w:proofErr w:type="spellEnd"/>
          </w:p>
        </w:tc>
      </w:tr>
    </w:tbl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   </w:t>
      </w:r>
      <w:proofErr w:type="spellStart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Bucureşti</w:t>
      </w:r>
      <w:proofErr w:type="spellEnd"/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7 august 2024.  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E0B7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 1.546</w:t>
      </w:r>
    </w:p>
    <w:p w:rsidR="003E0B76" w:rsidRPr="003E0B76" w:rsidRDefault="003E0B76" w:rsidP="003E0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E0B76" w:rsidRDefault="003E0B76" w:rsidP="003E0B7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</w:pPr>
    </w:p>
    <w:p w:rsidR="003E0B76" w:rsidRDefault="003E0B76" w:rsidP="003E0B7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</w:pPr>
    </w:p>
    <w:p w:rsidR="003E0B76" w:rsidRPr="003E0B76" w:rsidRDefault="003E0B76" w:rsidP="003E0B7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E0B76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  <w:t xml:space="preserve">ANEXĂ </w:t>
      </w:r>
      <w:r w:rsidRPr="003E0B76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  <w:br/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(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nr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. 570/2018)</w:t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E0B76" w:rsidRPr="003E0B76" w:rsidRDefault="003E0B76" w:rsidP="003E0B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STRUCTURA ORGANIZATORICĂ </w:t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proofErr w:type="gram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a</w:t>
      </w:r>
      <w:proofErr w:type="gram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Agenţiei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Naţionale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Cadastru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Publicitate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>Imobiliară</w:t>
      </w:r>
      <w:proofErr w:type="spellEnd"/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E0B76" w:rsidRPr="003E0B76" w:rsidRDefault="003E0B76" w:rsidP="003E0B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3E0B76">
        <w:rPr>
          <w:rFonts w:ascii="Arial" w:eastAsia="Times New Roman" w:hAnsi="Arial" w:cs="Arial"/>
          <w:noProof/>
          <w:color w:val="000000"/>
          <w:sz w:val="26"/>
          <w:szCs w:val="26"/>
          <w:lang w:val="en-US"/>
        </w:rPr>
        <w:drawing>
          <wp:inline distT="0" distB="0" distL="0" distR="0" wp14:anchorId="64CFB18E" wp14:editId="2B47EF95">
            <wp:extent cx="6591300" cy="4781550"/>
            <wp:effectExtent l="0" t="0" r="0" b="0"/>
            <wp:docPr id="4" name="Picture 4" descr="C:\Program Files (x86)\Lege5\TEMP\5975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Lege5\TEMP\59757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B7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D75511" w:rsidRDefault="00D75511"/>
    <w:sectPr w:rsidR="00D75511" w:rsidSect="003E0B7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EF"/>
    <w:rsid w:val="003E0B76"/>
    <w:rsid w:val="006E7629"/>
    <w:rsid w:val="00707BEF"/>
    <w:rsid w:val="00D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BFB2-382C-41C6-BBF1-F801C3B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81121%202638125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sa_act;" TargetMode="External"/><Relationship Id="rId11" Type="http://schemas.openxmlformats.org/officeDocument/2006/relationships/image" Target="media/image1.jpeg"/><Relationship Id="rId5" Type="http://schemas.openxmlformats.org/officeDocument/2006/relationships/hyperlink" Target="javascript:fisa_act;" TargetMode="External"/><Relationship Id="rId10" Type="http://schemas.openxmlformats.org/officeDocument/2006/relationships/hyperlink" Target="act:2895442%20576604263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781121%2082918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Andreescu</dc:creator>
  <cp:keywords/>
  <dc:description/>
  <cp:lastModifiedBy>Corina Andreescu</cp:lastModifiedBy>
  <cp:revision>2</cp:revision>
  <dcterms:created xsi:type="dcterms:W3CDTF">2024-08-21T09:04:00Z</dcterms:created>
  <dcterms:modified xsi:type="dcterms:W3CDTF">2024-08-21T09:04:00Z</dcterms:modified>
</cp:coreProperties>
</file>